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6" w:rsidRPr="003D596D" w:rsidRDefault="00976EC6" w:rsidP="00976EC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3D596D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 xml:space="preserve">материалов конференции (тезисов докладов, </w:t>
      </w:r>
      <w:r w:rsidRPr="003D596D">
        <w:rPr>
          <w:rFonts w:ascii="Times New Roman" w:hAnsi="Times New Roman"/>
          <w:b/>
          <w:sz w:val="24"/>
          <w:szCs w:val="24"/>
        </w:rPr>
        <w:t>статей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" w:right="74" w:firstLine="28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 </w:t>
      </w:r>
      <w:r w:rsidRPr="005534BB">
        <w:rPr>
          <w:rFonts w:ascii="Times New Roman" w:eastAsia="Tahoma" w:hAnsi="Times New Roman" w:cs="Times New Roman"/>
          <w:sz w:val="24"/>
          <w:szCs w:val="24"/>
        </w:rPr>
        <w:t xml:space="preserve">Объем статьи не менее 20, но не более 40 тысяч знаков с пробелами (включая заглавие, таблицы и иллюстрации, список литературы и источников). Одна иллюстрация форматом 1600 </w:t>
      </w:r>
      <w:proofErr w:type="spellStart"/>
      <w:r w:rsidRPr="005534BB">
        <w:rPr>
          <w:rFonts w:ascii="Times New Roman" w:eastAsia="Tahoma" w:hAnsi="Times New Roman" w:cs="Times New Roman"/>
          <w:sz w:val="24"/>
          <w:szCs w:val="24"/>
        </w:rPr>
        <w:t>х</w:t>
      </w:r>
      <w:proofErr w:type="spellEnd"/>
      <w:r w:rsidRPr="005534BB">
        <w:rPr>
          <w:rFonts w:ascii="Times New Roman" w:eastAsia="Tahoma" w:hAnsi="Times New Roman" w:cs="Times New Roman"/>
          <w:sz w:val="24"/>
          <w:szCs w:val="24"/>
        </w:rPr>
        <w:t xml:space="preserve"> 2300 мм приравнивается к 3000 знаков с пробелами.</w:t>
      </w:r>
    </w:p>
    <w:p w:rsidR="00976EC6" w:rsidRPr="005534BB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" w:right="74" w:firstLine="28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34BB">
        <w:rPr>
          <w:rFonts w:ascii="Times New Roman" w:hAnsi="Times New Roman"/>
          <w:bCs/>
          <w:sz w:val="24"/>
          <w:szCs w:val="24"/>
        </w:rPr>
        <w:t>Объем тезисов - до 6500 печатных знаков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76EC6" w:rsidRPr="005534BB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1" w:right="74" w:firstLine="28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34BB">
        <w:rPr>
          <w:rFonts w:ascii="Times New Roman" w:eastAsia="Tahoma" w:hAnsi="Times New Roman" w:cs="Times New Roman"/>
          <w:sz w:val="24"/>
          <w:szCs w:val="24"/>
        </w:rPr>
        <w:t xml:space="preserve">В указанный объем не входят аннотация, список ключевых слов, список сокращений, англоязычные сведения. </w:t>
      </w:r>
    </w:p>
    <w:p w:rsidR="00976EC6" w:rsidRPr="005534BB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5" w:right="63" w:firstLine="27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534BB">
        <w:rPr>
          <w:rFonts w:ascii="Times New Roman" w:eastAsia="Tahoma" w:hAnsi="Times New Roman" w:cs="Times New Roman"/>
          <w:sz w:val="24"/>
          <w:szCs w:val="24"/>
        </w:rPr>
        <w:t>2. Названия файла статьи/тезисов — по фамилии автора (Петров.doc), файлов с иллюстрациями — Петров_ил</w:t>
      </w:r>
      <w:proofErr w:type="gramStart"/>
      <w:r w:rsidRPr="005534BB">
        <w:rPr>
          <w:rFonts w:ascii="Times New Roman" w:eastAsia="Tahoma" w:hAnsi="Times New Roman" w:cs="Times New Roman"/>
          <w:sz w:val="24"/>
          <w:szCs w:val="24"/>
        </w:rPr>
        <w:t>1</w:t>
      </w:r>
      <w:proofErr w:type="gramEnd"/>
      <w:r w:rsidRPr="005534BB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93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5534BB">
        <w:rPr>
          <w:rFonts w:ascii="Times New Roman" w:eastAsia="Tahoma" w:hAnsi="Times New Roman" w:cs="Times New Roman"/>
          <w:sz w:val="24"/>
          <w:szCs w:val="24"/>
        </w:rPr>
        <w:t>3. Поля: слева — 3 см, остальные — по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2 см. Страницы не нумеруются.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6" w:right="75" w:firstLine="282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4. Шрифт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Times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New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Roman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кегль 14 пт. (за исключением подстраничных ссылок), интервал одинарный, отступ красной строки 1 см.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" w:right="62" w:firstLine="29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5.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Те</w:t>
      </w:r>
      <w:proofErr w:type="gram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кст ст</w:t>
      </w:r>
      <w:proofErr w:type="gram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атьи</w:t>
      </w:r>
      <w:r w:rsidRPr="005534BB">
        <w:rPr>
          <w:rFonts w:ascii="Times New Roman" w:eastAsia="Tahoma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оформляется согласно ОБРАЗЦУ 1, приведенному ниже.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 верхнем левом углу размещается индекс УДК. Для определения индекса рекомендуется обратиться к библиотечному специалисту вашей организации. Можно также подобрать его самостоятельно, например, с помощью ресурса </w:t>
      </w:r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 xml:space="preserve">«Классификатор УДК — </w:t>
      </w:r>
      <w:proofErr w:type="spellStart"/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>TeaCode</w:t>
      </w:r>
      <w:proofErr w:type="spellEnd"/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 xml:space="preserve"> . </w:t>
      </w:r>
      <w:proofErr w:type="spellStart"/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>com</w:t>
      </w:r>
      <w:proofErr w:type="spellEnd"/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>»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2" w:right="58" w:firstLine="29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6. Далее в правом углу указываются инициалы и фамилии авторов, на следующей строке — название представляемой ими организации, на следующей строке полный почтовый адрес организации в формате: улица, дом, город, регион, индекс. Затем даётся адрес электронной почты автора.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Внимание! Далее необходимо указать код автора в системе ORCID. Если вы ещё не зарегистрированы в этой системе, выполните пункты инструкции, приведённой в конце информационного письма. Регистрация проста и займёт не более минуты.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1" w:right="69" w:firstLine="282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7. Далее магистранты и аспиранты указывают данные научного руководителя: ученую степень (если имеется), инициалы и фамилию.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5" w:right="68" w:firstLine="285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8. Ниже, через два пустых интервала, располагается заголовок: выравнивание по центру,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строчные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буквы, полужирное написание. В заглавии временные периоды и географические названия не сокращаются (века, веков, года, города, села, реки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etc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 тексте, напротив, для временных периодов используется сокращенная форма — г. вместо года, гг. вместо годов, в. и вв. — вместо упоминаний веков и т. д.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0" w:right="62" w:firstLine="27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9. Далее следуют аннотация на русском языке (800–1500 знаков с пробелами) и ключевые слова. Рекомендуется, чтобы структура аннотации повторяла структуру статьи</w:t>
      </w:r>
      <w:r w:rsidRPr="005534BB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отвечала условным разделам «введение (постановка проблемы и её актуальность)», «полученные результаты», «выводы». Аннотация не должна повторять сведений, содержащихся в заглавии статьи</w:t>
      </w:r>
      <w:r w:rsidRPr="005534BB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Просим избегать сложных грамматических конструкций и лишних вводных слов.  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4" w:right="61" w:firstLine="30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10. Ключевые слова: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обращаем ваше внимание, что для корректной обработки </w:t>
      </w:r>
      <w:r w:rsidRPr="005534BB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статьи/тезисов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в базах данных приведенные ключевые слова должны быть употреблены в тексте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4" w:right="61" w:firstLine="30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11.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Перечисленная в пунктах 6–11 информация дублируется на английском языке (</w:t>
      </w:r>
      <w:proofErr w:type="gram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см</w:t>
      </w:r>
      <w:proofErr w:type="gram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. образец оформления ниже).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Англоязычная аннотация также структурируется по разделам «введение (постановка проблемы и её актуальность)», «полученные результаты», «выводы». Переводы, выполненные через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онлайн-переводчики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должны быть обязательно вычитаны для проверки правильности передачи смысла. В названиях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веков в англоязычном варианте римские цифры необходимо заменить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арабские (XVII в. —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the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17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</w:rPr>
        <w:t xml:space="preserve">th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century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3" w:right="62" w:firstLine="29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12.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Далее следует </w:t>
      </w:r>
      <w:r w:rsidRPr="005534BB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текст/тезисов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статьи, структурированный, в соответствии с рекомендациями международных научных издательств, по разделам «Введение», «Полученные результаты и их обсуждение» (деление на подразделы — в соответствии с логикой авторского изложения) и «Выводы»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Названия разделов выделяются в тексте (полужирный шрифт, выравнивание по левому краю).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7" w:right="70" w:firstLine="283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Обратите внимание, что во всей статье</w:t>
      </w:r>
      <w:r w:rsidRPr="005534BB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тезисам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интервал между инициалами не ставится (С.Н.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), буква «ё» заменяется на «е» (за исключением географических названий, имен собственных и случаев, когда иначе смысл слова искажается). Для выделения смысловых акцентов в тексте следует использовать курсив или полужирное написание, но не подчёркивание. Знак номера и цифра номера разделяются пробелом (№ 1).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4" w:right="66" w:firstLine="29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13. Автоматические сноски в конце страницы могут быть использованы для примечаний, уточнений, но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не для указания используемой литературы и источников.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 качестве знака сноски используются цифры. Кегль текста в сносках — 10 пт.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" w:right="61" w:firstLine="303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14. В тексте допускается использование таблиц, ссылка на них в тексте оформляется как [табл. 1].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" w:right="61" w:firstLine="303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15. Библиографические ссылки в тексте статьи</w:t>
      </w:r>
      <w:r w:rsidRPr="005534BB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приводятся в квадратных скобках: через запятую указываются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фамилия автора, год издания и цитируемая страница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(иллюстрация, таблица): [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, 1986, с. 47, рис. 35: 1]. Для двух авторов — [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, Ваганова, 1986, с. 47—48]. Если авторов больше двух — [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др., 1986, с. 47—48]. Для последнего случая в </w:t>
      </w:r>
      <w:r w:rsidRPr="003D596D">
        <w:rPr>
          <w:rFonts w:ascii="Times New Roman" w:eastAsia="Tahoma" w:hAnsi="Times New Roman" w:cs="Times New Roman"/>
          <w:color w:val="333333"/>
          <w:sz w:val="24"/>
          <w:szCs w:val="24"/>
        </w:rPr>
        <w:t xml:space="preserve">списке литературы указываются </w:t>
      </w:r>
      <w:r w:rsidRPr="003D596D">
        <w:rPr>
          <w:rFonts w:ascii="Times New Roman" w:eastAsia="Tahoma" w:hAnsi="Times New Roman" w:cs="Times New Roman"/>
          <w:b/>
          <w:color w:val="333333"/>
          <w:sz w:val="24"/>
          <w:szCs w:val="24"/>
        </w:rPr>
        <w:t xml:space="preserve">все </w:t>
      </w:r>
      <w:r w:rsidRPr="003D596D">
        <w:rPr>
          <w:rFonts w:ascii="Times New Roman" w:eastAsia="Tahoma" w:hAnsi="Times New Roman" w:cs="Times New Roman"/>
          <w:color w:val="333333"/>
          <w:sz w:val="24"/>
          <w:szCs w:val="24"/>
        </w:rPr>
        <w:t>фамилии авторов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Для изданий (обычно справочных), в которых в библиографическом описании указаны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составители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или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редакторы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но не авторы, приводятся первые два слова из названия — [Памятники истории.., 2014, с. 167].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6" w:right="70" w:firstLine="29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16. Ссылки на источники (документы из архивных и музейных фондов, законодательные акты, регламенты, инструкции, положения и т.п.) также приводятся в квадратных скобках.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Для архивных дел и музейных документов указывается аббревиатура архива или музея, далее обозначение фонда, номер описи, дела и листов, например [ГАНО, Ф. Р-47.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Оп. 1. Д. 71. Л. 5—6], [МИАС им. С.Н.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Баландина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НГУАДИ. ФК. Оп. 1. Л. 17.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Ф. 3].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Для ссылки на законы, регламенты, положения и т. п. в скобках приводят первые слова из заглавия [</w:t>
      </w:r>
      <w:r w:rsidRPr="003D596D">
        <w:rPr>
          <w:rFonts w:ascii="Times New Roman" w:eastAsia="Tahoma" w:hAnsi="Times New Roman" w:cs="Times New Roman"/>
          <w:color w:val="333333"/>
          <w:sz w:val="24"/>
          <w:szCs w:val="24"/>
        </w:rPr>
        <w:t>Федеральный закон…, 2012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].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13" w:right="71" w:firstLine="29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17.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Внимание! Ссылки на гранты и подобная информация размещается в тексте статьи</w:t>
      </w:r>
      <w:r w:rsidRPr="00181EC6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/тезисов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в разделе «Благодарности»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следующем после раздела «Выводы». Если такой необходимости нет, раздел благодарности можно не делать.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" w:right="61" w:firstLine="303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18. В конце статьи</w:t>
      </w:r>
      <w:r w:rsidRPr="005534BB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дается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список использованной литературы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строго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в АЛФАВИТНОМ ПОРЯДКЕ.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Библиографическое описание ОБЯЗАТЕЛЬНО включает место издания, название издательства и общее количество страниц (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см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ОБРАЗЕЦ 2). При описании журнальных статей указываются общие страницы статьи. Архивные источники образуют отдельный список. При описании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ссылки на электронный ресурс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недопустимо указание только самой ссылки. Необходимо привести полное название публикации, ее авторов, если они указаны, название ресурса и дату обращения к нему. Все приведённые в списках публикации, документы и источники должны быть упомянуты в тексте. Соответственно, все ссылки на публикации и источники должны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быть расшифрованы в списках литературы и источников.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4" w:right="69" w:firstLine="30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19. После русскоязычного списка литературы дается его транслитерированный вариант под заглавием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References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(ОБРАЗЕЦ 3). Транслитерируются только русскоязычные издания. Транслитерация выполняется автоматически на сайте </w:t>
      </w:r>
      <w:r w:rsidRPr="003D596D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>http://translit.net/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В открывающееся по ссылке поле необходимо вставить русскоязычный список литературы, затем в разворачивающемся меню в верхней части страницы выбрать стандарт «BSI» и нажать кнопку «В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транслит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».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Составленный автоматически список необходимо отредактировать вручную: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right="75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— фамилии иностранных авторов, чьи произведения переведены на русский язык, не транслитерируются, а даются в оригинальном написании. Например: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Ле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Корбюзье — </w:t>
      </w:r>
      <w:proofErr w:type="spellStart"/>
      <w:r w:rsidRPr="003D596D">
        <w:rPr>
          <w:rFonts w:ascii="Times New Roman" w:eastAsia="Tahoma" w:hAnsi="Times New Roman" w:cs="Times New Roman"/>
          <w:color w:val="333333"/>
          <w:sz w:val="24"/>
          <w:szCs w:val="24"/>
          <w:highlight w:val="white"/>
        </w:rPr>
        <w:t>Le</w:t>
      </w:r>
      <w:proofErr w:type="spellEnd"/>
      <w:r w:rsidRPr="003D596D">
        <w:rPr>
          <w:rFonts w:ascii="Times New Roman" w:eastAsia="Tahoma" w:hAnsi="Times New Roman" w:cs="Times New Roman"/>
          <w:color w:val="333333"/>
          <w:sz w:val="24"/>
          <w:szCs w:val="24"/>
          <w:highlight w:val="white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333333"/>
          <w:sz w:val="24"/>
          <w:szCs w:val="24"/>
          <w:highlight w:val="white"/>
        </w:rPr>
        <w:t>Corbusier</w:t>
      </w:r>
      <w:proofErr w:type="spellEnd"/>
      <w:r w:rsidRPr="003D596D">
        <w:rPr>
          <w:rFonts w:ascii="Times New Roman" w:eastAsia="Tahoma" w:hAnsi="Times New Roman" w:cs="Times New Roman"/>
          <w:color w:val="333333"/>
          <w:sz w:val="24"/>
          <w:szCs w:val="24"/>
          <w:highlight w:val="white"/>
        </w:rPr>
        <w:t xml:space="preserve"> и т.д.;</w:t>
      </w:r>
      <w:r w:rsidRPr="003D596D">
        <w:rPr>
          <w:rFonts w:ascii="Times New Roman" w:eastAsia="Tahoma" w:hAnsi="Times New Roman" w:cs="Times New Roman"/>
          <w:color w:val="333333"/>
          <w:sz w:val="24"/>
          <w:szCs w:val="24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— после транслитерированного названия публикации или издания в квадратных скобках привести его перевод.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Если имеется принятое англоязычное название, то необходимо воспроизвести именно его; — убрать тире в тех случаях, когда оно является условным разделительным знаком; — заменить знаки / и // на точку;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4" w:right="74" w:hanging="13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— перед названиями сборников статей, коллективных монографий и иных составных непериодических изданий добавлять предлог «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In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:»;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— названия городов указать на английском языке и не сокращать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Moscow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St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Petersburg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Yekaterinburg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…);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right="67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— страницы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.) заменить на р.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page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рр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pages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); знак № — на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No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вып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— на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Iss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.; ч. - на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.; т. — на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Vol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.; гл. —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Chap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кн. —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Book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— в конце описания добавить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in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Russ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.).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13" w:right="59" w:firstLine="1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После этого вернуть в список литературы публикации на иностранном языке (при наличии) и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снова выстроить список по алфавиту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на этот раз — английскому.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right="62" w:firstLine="293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20. После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References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приводится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c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писок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источников, также в алфавитном порядке. Транслитерировать его не нужно.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5" w:right="69" w:firstLine="289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21. После списка источников добавляется фраза «Материал передан в редакцию ХХ месяца 202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1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г.». Этот текст делается курсивом и выравнивается по правому краю.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3" w:right="66" w:firstLine="28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Последними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в материале приводятся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список использованных сокращений, список иллюстраций.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ПРАВИЛА ОФОРМЛЕНИЯ ИЛЛЮСТРАЦИЙ 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6" w:right="62" w:firstLine="30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К тезисам докладов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может быть представлено 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не более двух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иллюстраций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6" w:right="62" w:firstLine="30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К статье может быть представлено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до шести иллюстраций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.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6" w:right="62" w:firstLine="30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3.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К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ачество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иллюстраций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не менее 300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dpi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Иллюстрации присылаются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отдельными файлами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 формате JPG или TIFF.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Не нужно вставлять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 xml:space="preserve">рисунки в текст!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Перед отправкой иллюстраций убедитесь, что при печати при выбранном размере печатной области не становятся видны пиксели.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Иллюстрации в электронной версии сборника будут цветными, в печатной — черно-белыми.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Перед отправкой иллюстраций убедитесь, что при переводе в черно-белый формат не пропадают условные обозначения и важные акценты изображения. 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6" w:right="63" w:firstLine="289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2. В тексте статьи</w:t>
      </w:r>
      <w:r w:rsidRPr="00181EC6">
        <w:rPr>
          <w:rFonts w:ascii="Times New Roman" w:eastAsia="Tahom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делается указание на рисунок, в круглых скобках, вида (ил. 1).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6" w:right="63" w:firstLine="28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В подписи к каждой иллюстрации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обязательно указывается ее источник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: книжное издание, архивный или музейный фонд, интернет-ресурс (с указанием полной ссылки и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авторства фотографии или изображения, если оно указано в источнике), либо отмечается «ПМА» (полевые материалы автора), «снимок автора», «графическая реконструкция автора» и т.п.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7" w:lineRule="auto"/>
        <w:ind w:left="6" w:right="71" w:firstLine="281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4. После этого на следующей строке даётся перевод подписи к иллюстрации на английский язык в формате: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Fg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1. A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plan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of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Tobolsk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 1820. [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Danilov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2015,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p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132]. </w:t>
      </w: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Образец 1. Пример оформления статьи</w:t>
      </w:r>
      <w:r w:rsidRPr="00181EC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тезисов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: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УДК: 902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59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Ю.Н. Гаркуша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3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Институт археологии и этнографии СО РАН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5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пр-т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Академика Лаврентьева, 17, г. Новосибирск, Россия, 630090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59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garkusha@archaeology.nsc.ru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2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ORCID: http://orcid.org/0000-0002-8856-7495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1" w:lineRule="auto"/>
        <w:ind w:left="17" w:right="70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Городище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Усть-Войкарское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—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Войкарский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городок. Проблема соотношения археологического «городища» и исторического «городка»: историография вопроса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" w:right="67" w:firstLine="1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Рассматривается проблема верификации источников, использованных для обоснования тождества археологического памятника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Усть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Войкарское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городище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Шурышкарский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район ЯНАО) и исторического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Войкарского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городка. Доводы исследователей основаны на скудных и противоречивых данных начала XVII — конца XIX вв. Одна из главных проблем – противоречивые сведения о местоположении «объектов древности», изложенные в краеведческой литературе XIX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., где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географическим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ориентиром для их привязки служит селение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Войкарские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юрты. В современной историографии не учитывалось наличие у коренных жителей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Нижнего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Приобья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нескольких селений с одинаковым названием.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Утверждается, что известные материалы не могут являться достаточно убедительными для установления тождества между искомыми археологическим и историческим объектами, а также не позволяют утверждать, что все они связаны с местностью, где в начале ХХI в. были проведены археологические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раскопки.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Ключевые слова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Усть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Войкарское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городище,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Войкарский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городок,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Войкарские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юрты.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ind w:right="59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Yu.N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Garkusha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5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Institute of Archeology and Ethnography of the SB of the RAS (Novosibirsk)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Akademika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Lavrentieva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Avenue, 17, Novosibirsk, Russia, 630090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1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yunga1971@ngs.ru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0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ORCID: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val="en-US"/>
        </w:rPr>
        <w:t>http://orcid.org/0000-0002-8856-7495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>Ust-Voikarskoe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 site —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A problem of correlation of the archeological site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>and</w:t>
      </w:r>
      <w:proofErr w:type="gram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 the historical settlement: history of the question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Abstract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2" w:right="63" w:firstLine="1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Ust-Voikarskoe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site is situated in the Lower Ob Region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Shuryshkarsky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district of the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Yamal-Nenets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Autonomous District, Russia). This object belongs to autochthonous late Middle-Age culture of the north of the Western Siberia. The article discusses questions of verification of sources used as a confirmation for identity of archeological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Ust-Voikarskoe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site and historical Middle-Age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Firstly researches have noted that the site has been known in the written sources as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Ostyak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Khanty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at least since the beginning of the 17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century, including Russian fiscal documents. Siberian local historians of the 2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nd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half of the 19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century had informed about some “ancient hills” located near the village of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Yurty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At the same time there is group of other sources which are not analyzed yet. Complex review of all the sources tells us a confusing story. Where were located “ancient hills” near the village of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Yurty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? How did it look?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Khanty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had a range of settlements named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Yurty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So we can ask — what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Yurty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had been located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right="60" w:firstLine="13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near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the objects which historians connected with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? Known historical materials cannot be enough to prove the identity of archeological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Ust-Voikarskoe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site and historical Middle-Age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. They also cannot be a ground to say that these places are connected with a territory researched by archeologists in the beginning of the 21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century.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b/>
          <w:color w:val="222222"/>
          <w:sz w:val="24"/>
          <w:szCs w:val="24"/>
          <w:lang w:val="en-US"/>
        </w:rPr>
        <w:t xml:space="preserve">Key words: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Ust-Voikarskoe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site,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Gorodok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Voikarskie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Yurty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1" w:lineRule="auto"/>
        <w:ind w:right="66" w:firstLine="29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Введение.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Отождествление археологического «городища», обнаруженного вблизи современной д.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Усть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Войкары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Шурышкарский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р-он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ЯНАО), и исторического «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Войкарского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городка» было предпринято еще до начала полевых работ на памятнике.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Последний входил в круг аборигенных средневековых «городков», выполнявших функции различных по своему назначению локальных центров для коренного населения Севера Западной Сибири [см. например: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Шашков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2002;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Перевалова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2004.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С. 214; Перцев, 2017].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299" w:right="2025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Подтверждение поселенческого статуса масштабного археологического объекта...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Полученные результаты и их обсуждение.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Текст…. Текст…. Текст…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84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Текст…. Текст…. Текст…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99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Выводы.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Текст…. Текст…. Текст…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84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Текст…. Текст…. Текст…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99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Благодарности.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Работа выполнена при поддержке гранта...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2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lastRenderedPageBreak/>
        <w:t xml:space="preserve">Список литературы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1" w:lineRule="auto"/>
        <w:ind w:left="22" w:right="71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1. Абрамов Н.А. Описание Березовского края // ЗИРГО. Кн. 12. СПб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Типография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Импер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Акад. Наук, 1857. С. 329–448.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1" w:right="78" w:firstLine="9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Бабаков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В.Г. К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этноисторическому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изучению приобских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хантов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(по материалам переписей населения XVIII в.) // СЭ. 1976.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№ 6.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99–110.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…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References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1" w:lineRule="auto"/>
        <w:ind w:left="15" w:right="88" w:firstLine="7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Abramov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N.A.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Opisanie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Berezovskogo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kraya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[Description of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Beryezov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Region]. In: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Zapiski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IRGO.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Book 12.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St.  Petersburg,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Tipografiya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Imperatorskoi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Akademii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Nauk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, 1857. P. 329–448. (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Russ.)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1" w:right="89" w:firstLine="10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Babakov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V.G. K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etnoistoricheskomu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izucheniyu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priobskikh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khantov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materialam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perepisei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naseleniya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XVIII  v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.) [Questions of ethnographical and historical research of the Ob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Khanty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(based on the materials of the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popu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lation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census the 18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century)].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Sovetskaya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etnografiya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1976. No. 6.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Pp. 99–110. (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in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Russ.)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3872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Список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источников</w:t>
      </w: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22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ГАНО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Ф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Р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-47.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Оп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1.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Д. 71.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МИАС им. С.Н.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Баландина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НГУАДИ, Ф.К. Оп. 1. Л. 37.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82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Материал передан в редакцию ХХ месяца 2020 г.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Список сокращений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5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ГАНО — Государственный архив Новосибирской области.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Список иллюстраций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1" w:lineRule="auto"/>
        <w:ind w:left="72" w:right="8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Ил. 1.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Что изображено (авторство и ссылка на источник изображения, если оно печатается из литературы или открытого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источника-интернет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Можно использовать ссылки, как в списке литературы — [Энциклопедия Забайкальского края..., с. 58–59]) </w:t>
      </w:r>
      <w:proofErr w:type="gramEnd"/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left="72" w:right="8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Ил. 2.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Что изображено (авторство и ссылка на источник изображения, если оно печатается из литературы или открытого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источника-интернет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Можно использовать ссылки, как в списке литературы — [Энциклопедия Забайкальского края..., с. 60–63])</w:t>
      </w:r>
      <w:proofErr w:type="gramEnd"/>
    </w:p>
    <w:p w:rsidR="00976EC6" w:rsidRPr="003D596D" w:rsidRDefault="00976EC6" w:rsidP="00976EC6">
      <w:pPr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976EC6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Образец 2. Примеры оформления библиографических ссылок: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firstLine="701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статья в сборнике конференции: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 Гаркуша Ю.Н., Новиков А.В. Об одном из типов деревянных построек городища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Усть-Войкарское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Нижнее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Приобье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): архитектурные особенности, археолого-этнографические параллели //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Баландинские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чтения: сборник статей научных чтений памяти С.Н.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Баландина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― Новосибирск: НГАХА, 2015. ― Т. X. ― Ч. 1. ― С. 51–61.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статья в журнале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Греков Н.И. Модернизация как процесс. Проблемы модернизации жилых кварталов постройки 1930—1950-х годов в городах Красноярского края // ACADEMIA. Архитектура и строительство. — 2012. — № 2. — С. 38–41.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статья в журнале с серией и томом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3. Данилов П.Г. Пороховой погреб Тобольска XVII века по археологическим и историческим материалам // Вестник НГУ. Серия: История, филология. ― 2014. ― Т. 13. ―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Вып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5: Археология и этнография. ― С. 209–220.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монография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Майничева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А.Ю. Архитектурно-строительные традиции крестьянства северной части Верхнего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Приобья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: проблемы эволюции и контактов. Середина XIX ― начало XX вв. ― Новосибирск: Изд-во ИАЭТ СО РАН, 2002. ― 144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коллективная монография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5. Рындина О.М., Боброва А.И.,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Ожередов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Ю.И. Ханты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Салымского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края: культура в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археолого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этнографической ретроспективе. ― Томск: ТГУ, 2008. ― 412 с.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справочное издание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6. Памятники истории, архитектуры и монументально-декоративного искусства Новосибирской области. ― Кн. 2. Районы и города Новосибирской области. ― Новосибирск: НПЦ по сохранению историко-культурного наследия Новосибирской области, 2011. ― 278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автореферат диссертации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Кузеванов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В.С. Сибирские архитекторы 1930–1950-е гг.: профессиональная деятельность, социальные институты и повседневные практики (на материалах Омска и Новосибирска):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автореф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дис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… канд. ист. наук. — Омск, 2015. — 40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.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интернет-ресурс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Мацковская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А. Торговый дом фирмы «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Штолъ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Шмитъ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»: путешествие по аптечной истории длиной в 107 лет // Томский обзор. — 9 июля 2013. — URL: http://obzor.westsib.ru/article/388602 (дата обращения: 28.04.2015).</w:t>
      </w:r>
    </w:p>
    <w:p w:rsidR="00976EC6" w:rsidRPr="003D596D" w:rsidRDefault="00976EC6" w:rsidP="00976EC6">
      <w:pPr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Образец 3. Примеры оформления </w:t>
      </w:r>
      <w:proofErr w:type="spellStart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References</w:t>
      </w:r>
      <w:proofErr w:type="spellEnd"/>
      <w:r w:rsidRPr="003D596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: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6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статья в сборнике конференции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87" w:firstLine="1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Garkusha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Ju.N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Novikov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A.V. Ob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odnom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iz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tipov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derevjannyh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postroek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gorodishha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Ust'-Vojkarskoe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Nizhnee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Priob'e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):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arhitekturnye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osobennosti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arheologo-jetnograficheskie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paralleli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[About one of the types of wooden buildings of the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Ust-Voikarskoye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site (Lower Ob region).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Its architectural features and archaeological and ethnographic correlations].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In: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Balandinskie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chtenija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sbornik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statej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nauchnyh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chtenij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pamjati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S.N.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Balandina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Novosibirsk: NGAHA, 2015. Vol. X. Pt. 1. Pp. 51–61.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статья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журнале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90" w:right="59" w:firstLine="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Grekov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N.I.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Modernizacija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kak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process.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Problemy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modernizacii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zhilyh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kvartalov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postrojki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1930—1950-h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godov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gorodah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Krasnojarskogo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kraja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[Modernization as a process.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Problems of modernization of residential quarters built in the 1930s — 1950s in the Krasnoyarsk region].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ACADEMIA.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Arhitektura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stroitel'stvo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2012. No 2. Pp. 38–41.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статья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в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журнале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серией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томом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94" w:right="67" w:hanging="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Danilov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P.G.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Porohovoj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pogreb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Tobol'ska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XVII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veka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arheologicheskim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istoricheskim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materialam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[Gunpowder cellar of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Tobolsk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of the 17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century shown on the base of archaeological and historical materials].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Vestnik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NGU.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Serija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Istorija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filologija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2014. Vol. 13. No. 5: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Arheologija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jetnografija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Pp. 209– 220.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монография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86" w:right="76" w:firstLine="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Majnicheva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A.Ju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Arhitekturno-stroitel'nye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tradicii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krest'janstva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severnoj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chasti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Verhnego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Priob'ja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problemy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jevoljucii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kontaktov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Seredina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XIX ―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nachalo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XX vv. [Architectural and construction traditions of the peasantry of the Northern part of the Upper Ob region: problems of evolution and contacts.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The middle of the 19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― the early 20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centuries.].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lastRenderedPageBreak/>
        <w:t xml:space="preserve">Novosibirsk: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Izd-vo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IAJeT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SO RAN, 2002.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144 p. 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4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коллективная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монография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76" w:right="79" w:firstLine="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Ryndina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O.M.,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Bobrova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A.I.,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Ozheredov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Ju.I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Hanty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Salymskogo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kraja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kul'tura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arheologo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jetnograficheskoj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retrospektive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Khanty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of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Salym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region: culture in a retrospect of archaeology and ethnography]. Tomsk: TGU, 2008.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412 p. 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6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справочное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издание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90" w:right="71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Pamjatniki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istorii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arhitektury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monumental'no-dekorativnogo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iskusstva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Novosibirskoj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oblasti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[Monuments of history, architecture and monumental and decorative art of the Novosibirsk region].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Book.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2.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Rajony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goroda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Novosibirskoj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oblasti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[Districts and towns of the Novosibirsk region]. Novosibirsk: NPC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sohraneniju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istoriko-kul'turnogo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nasledija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Novosibirskoj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oblasti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, 2011.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278 p. 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автореферат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диссертации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284" w:right="76" w:firstLine="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Kuzevanov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V.S.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Sibirskie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arhitektory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1930–1950-e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gg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professional'naja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dejatel'nost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',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social'nye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instituty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povsednevnye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praktiki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materialah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Omska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Novosibirska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) [Siberian architects of the 1930s — 1950s. Their professional activities, social institutions and everyday practices (shown on the base of materials from Omsk and Novosibirsk)].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Dissertation abstract.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Omsk, 2015.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40 p. (In Russ.).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2"/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интернет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-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ресурс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77" w:lineRule="auto"/>
        <w:ind w:left="291" w:right="61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Mackovskaja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A.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Torgovyj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dom</w:t>
      </w:r>
      <w:proofErr w:type="spellEnd"/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firmy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Shtol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'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Shmit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'»: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puteshestvie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po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aptechnoj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istorii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dlinoj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v 107 let [Stoll &amp;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Schmit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thade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firm: a journey through the pharmacy history of the 107 years]. </w:t>
      </w:r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Tomskij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obzor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>Yuly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9, 2013.</w:t>
      </w:r>
      <w:proofErr w:type="gramEnd"/>
      <w:r w:rsidRPr="003D596D">
        <w:rPr>
          <w:rFonts w:ascii="Times New Roman" w:eastAsia="Tahoma" w:hAnsi="Times New Roman" w:cs="Times New Roman"/>
          <w:color w:val="000000"/>
          <w:sz w:val="24"/>
          <w:szCs w:val="24"/>
          <w:lang w:val="en-US"/>
        </w:rPr>
        <w:t xml:space="preserve"> URL: http://obzor.westsib.ru/article/388602 (accessed April 28, 2015). </w:t>
      </w:r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(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In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Russ</w:t>
      </w:r>
      <w:proofErr w:type="spellEnd"/>
      <w:r w:rsidRPr="003D596D">
        <w:rPr>
          <w:rFonts w:ascii="Times New Roman" w:eastAsia="Tahoma" w:hAnsi="Times New Roman" w:cs="Times New Roman"/>
          <w:color w:val="000000"/>
          <w:sz w:val="24"/>
          <w:szCs w:val="24"/>
        </w:rPr>
        <w:t>.).</w:t>
      </w:r>
    </w:p>
    <w:p w:rsidR="00976EC6" w:rsidRPr="003D596D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Зачем нужен ORCID и как там </w:t>
      </w:r>
      <w:proofErr w:type="gram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зарегистрироваться</w:t>
      </w:r>
      <w:proofErr w:type="gram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? 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77" w:lineRule="auto"/>
        <w:ind w:left="6" w:right="11" w:firstLine="56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ORCID (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Open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Researcher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and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Contributor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ID) — это личный международный идентификатор научного автора. Это современный инструмент, разработанный для того, чтобы статьи, книги и другие научные работы автора закреплялись в базах данных (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Scopus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Web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of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Science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др.), индексирующих системах библиотек и т.д. за правильным автором (а, например, не за однофамильцем). Он также нужен для предотвращения типичной проблемы, когда один и тот же автор ошибочно индексируется в базе данных под разными транслитерациями как два-три разных автора (т.е. напр.: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Chernyavsky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Chernyavskiy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и т.д.).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7" w:right="18" w:firstLine="567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Система ORCID дает возможность вести единый список ваших публикаций и правильные данные о местах работы, т.е. иметь своего рода базовое CV, привязанное к вашей карточке автора. Это тоже бывает удобно.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583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Как зарегистрироваться в системе: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590"/>
        <w:rPr>
          <w:rFonts w:ascii="Times New Roman" w:eastAsia="Tahoma" w:hAnsi="Times New Roman" w:cs="Times New Roman"/>
          <w:color w:val="0000FF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1. Войдите на сайт </w:t>
      </w:r>
      <w:r w:rsidRPr="00265104">
        <w:rPr>
          <w:rFonts w:ascii="Times New Roman" w:eastAsia="Tahoma" w:hAnsi="Times New Roman" w:cs="Times New Roman"/>
          <w:color w:val="0000FF"/>
          <w:sz w:val="24"/>
          <w:szCs w:val="24"/>
          <w:u w:val="single"/>
        </w:rPr>
        <w:t>https://orcid.org/register</w:t>
      </w:r>
      <w:r w:rsidRPr="00265104">
        <w:rPr>
          <w:rFonts w:ascii="Times New Roman" w:eastAsia="Tahoma" w:hAnsi="Times New Roman" w:cs="Times New Roman"/>
          <w:color w:val="0000FF"/>
          <w:sz w:val="24"/>
          <w:szCs w:val="24"/>
        </w:rPr>
        <w:t xml:space="preserve">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579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2. В правом верхнем углу выберите в выпадающем меню русский язык.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77" w:lineRule="auto"/>
        <w:ind w:left="5" w:right="7" w:firstLine="57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Заполните необходимые поля. Обратите внимание, что придуманный вами пароль должен содержать не менее 8 символов, хотя бы одну букву или знак препинания и хотя бы одну цифру. Обратите внимание, что мы можете снять автоматическую галочку с пункта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Please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send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me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quarterly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emails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about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new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ORCID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features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tips</w:t>
      </w:r>
      <w:proofErr w:type="spell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если не хотите получать ежеквартальные рассылки о новинках системы. </w:t>
      </w:r>
    </w:p>
    <w:p w:rsidR="00976EC6" w:rsidRPr="00265104" w:rsidRDefault="00976EC6" w:rsidP="00976EC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7" w:lineRule="auto"/>
        <w:ind w:left="14" w:right="7" w:firstLine="55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4. После нажатия кнопки </w:t>
      </w:r>
      <w:r w:rsidRPr="00265104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зарегистрироваться </w:t>
      </w:r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выйдет сообщение с вашим 16-значным кодом. Его необходимо указать в шапке статьи. Далее вы можете дополнять информацию в своём профиле так, как посчитаете </w:t>
      </w:r>
      <w:proofErr w:type="gramStart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необходимым</w:t>
      </w:r>
      <w:proofErr w:type="gramEnd"/>
      <w:r w:rsidRPr="00265104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76EC6" w:rsidRDefault="00976EC6" w:rsidP="00976EC6">
      <w:pPr>
        <w:spacing w:after="0" w:line="240" w:lineRule="auto"/>
        <w:ind w:firstLine="709"/>
        <w:jc w:val="right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</w:p>
    <w:p w:rsidR="00976EC6" w:rsidRDefault="00976EC6" w:rsidP="00976EC6">
      <w:pPr>
        <w:spacing w:after="0" w:line="240" w:lineRule="auto"/>
        <w:ind w:firstLine="709"/>
        <w:jc w:val="right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</w:p>
    <w:p w:rsidR="00976EC6" w:rsidRDefault="00976EC6" w:rsidP="00976EC6">
      <w:pPr>
        <w:spacing w:after="0" w:line="240" w:lineRule="auto"/>
        <w:ind w:firstLine="709"/>
        <w:jc w:val="right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</w:p>
    <w:p w:rsidR="00685C65" w:rsidRDefault="00976EC6"/>
    <w:sectPr w:rsidR="00685C65" w:rsidSect="0063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C6"/>
    <w:rsid w:val="00017813"/>
    <w:rsid w:val="002302C0"/>
    <w:rsid w:val="002370E3"/>
    <w:rsid w:val="002F7FAC"/>
    <w:rsid w:val="005E3A6B"/>
    <w:rsid w:val="00634667"/>
    <w:rsid w:val="00782680"/>
    <w:rsid w:val="007C0FEC"/>
    <w:rsid w:val="009648FB"/>
    <w:rsid w:val="00976EC6"/>
    <w:rsid w:val="00A46668"/>
    <w:rsid w:val="00CA3915"/>
    <w:rsid w:val="00CE21B9"/>
    <w:rsid w:val="00DE1AAB"/>
    <w:rsid w:val="00F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6EC6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N.goncharova</dc:creator>
  <cp:lastModifiedBy>N.goncharova</cp:lastModifiedBy>
  <cp:revision>1</cp:revision>
  <dcterms:created xsi:type="dcterms:W3CDTF">2020-12-27T05:17:00Z</dcterms:created>
  <dcterms:modified xsi:type="dcterms:W3CDTF">2020-12-27T05:17:00Z</dcterms:modified>
</cp:coreProperties>
</file>